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hd w:fill="ffffff" w:val="clear"/>
        <w:spacing w:after="220" w:line="360" w:lineRule="auto"/>
        <w:rPr>
          <w:rFonts w:ascii="Avenir" w:cs="Avenir" w:eastAsia="Avenir" w:hAnsi="Avenir"/>
          <w:b w:val="1"/>
          <w:color w:val="333333"/>
          <w:sz w:val="20"/>
          <w:szCs w:val="20"/>
        </w:rPr>
      </w:pPr>
      <w:r w:rsidDel="00000000" w:rsidR="00000000" w:rsidRPr="00000000">
        <w:rPr>
          <w:rFonts w:ascii="Avenir" w:cs="Avenir" w:eastAsia="Avenir" w:hAnsi="Avenir"/>
          <w:b w:val="1"/>
          <w:color w:val="333333"/>
          <w:sz w:val="20"/>
          <w:szCs w:val="20"/>
          <w:u w:val="single"/>
          <w:rtl w:val="0"/>
        </w:rPr>
        <w:t xml:space="preserve">Crafting a Research Thesis Statement- Tips and Guidelines</w:t>
      </w:r>
      <w:r w:rsidDel="00000000" w:rsidR="00000000" w:rsidRPr="00000000">
        <w:rPr>
          <w:rtl w:val="0"/>
        </w:rPr>
      </w:r>
    </w:p>
    <w:p w:rsidR="00000000" w:rsidDel="00000000" w:rsidP="00000000" w:rsidRDefault="00000000" w:rsidRPr="00000000" w14:paraId="00000002">
      <w:pPr>
        <w:numPr>
          <w:ilvl w:val="0"/>
          <w:numId w:val="1"/>
        </w:numPr>
        <w:pBdr>
          <w:bottom w:color="auto" w:space="0" w:sz="0" w:val="none"/>
        </w:pBdr>
        <w:spacing w:after="0" w:afterAutospacing="0" w:line="360" w:lineRule="auto"/>
        <w:ind w:left="720" w:hanging="360"/>
        <w:rPr>
          <w:rFonts w:ascii="Avenir" w:cs="Avenir" w:eastAsia="Avenir" w:hAnsi="Avenir"/>
          <w:color w:val="333333"/>
          <w:sz w:val="20"/>
          <w:szCs w:val="20"/>
        </w:rPr>
      </w:pPr>
      <w:r w:rsidDel="00000000" w:rsidR="00000000" w:rsidRPr="00000000">
        <w:rPr>
          <w:rFonts w:ascii="Avenir" w:cs="Avenir" w:eastAsia="Avenir" w:hAnsi="Avenir"/>
          <w:b w:val="1"/>
          <w:color w:val="333333"/>
          <w:sz w:val="20"/>
          <w:szCs w:val="20"/>
          <w:rtl w:val="0"/>
        </w:rPr>
        <w:t xml:space="preserve">Do I answer the question?</w:t>
      </w:r>
      <w:r w:rsidDel="00000000" w:rsidR="00000000" w:rsidRPr="00000000">
        <w:rPr>
          <w:rFonts w:ascii="Avenir" w:cs="Avenir" w:eastAsia="Avenir" w:hAnsi="Avenir"/>
          <w:color w:val="333333"/>
          <w:sz w:val="20"/>
          <w:szCs w:val="20"/>
          <w:rtl w:val="0"/>
        </w:rPr>
        <w:t xml:space="preserve"> Re-reading the question prompt after constructing a working thesis can help you fix an argument that misses the focus of the question.</w:t>
      </w:r>
    </w:p>
    <w:p w:rsidR="00000000" w:rsidDel="00000000" w:rsidP="00000000" w:rsidRDefault="00000000" w:rsidRPr="00000000" w14:paraId="00000003">
      <w:pPr>
        <w:numPr>
          <w:ilvl w:val="0"/>
          <w:numId w:val="1"/>
        </w:numPr>
        <w:pBdr>
          <w:bottom w:color="auto" w:space="0" w:sz="0" w:val="none"/>
        </w:pBdr>
        <w:spacing w:after="0" w:afterAutospacing="0" w:line="360" w:lineRule="auto"/>
        <w:ind w:left="720" w:hanging="360"/>
        <w:rPr>
          <w:rFonts w:ascii="Avenir" w:cs="Avenir" w:eastAsia="Avenir" w:hAnsi="Avenir"/>
          <w:color w:val="333333"/>
          <w:sz w:val="20"/>
          <w:szCs w:val="20"/>
        </w:rPr>
      </w:pPr>
      <w:r w:rsidDel="00000000" w:rsidR="00000000" w:rsidRPr="00000000">
        <w:rPr>
          <w:rFonts w:ascii="Avenir" w:cs="Avenir" w:eastAsia="Avenir" w:hAnsi="Avenir"/>
          <w:b w:val="1"/>
          <w:color w:val="333333"/>
          <w:sz w:val="20"/>
          <w:szCs w:val="20"/>
          <w:rtl w:val="0"/>
        </w:rPr>
        <w:t xml:space="preserve">Have I taken a position that others might challenge or oppose?</w:t>
      </w:r>
      <w:r w:rsidDel="00000000" w:rsidR="00000000" w:rsidRPr="00000000">
        <w:rPr>
          <w:rFonts w:ascii="Avenir" w:cs="Avenir" w:eastAsia="Avenir" w:hAnsi="Avenir"/>
          <w:color w:val="333333"/>
          <w:sz w:val="20"/>
          <w:szCs w:val="20"/>
          <w:rtl w:val="0"/>
        </w:rPr>
        <w:t xml:space="preserve"> If your thesis simply states facts that no one would, or even could, disagree with, it’s possible that you are simply providing a summary, rather than making an argument.</w:t>
      </w:r>
    </w:p>
    <w:p w:rsidR="00000000" w:rsidDel="00000000" w:rsidP="00000000" w:rsidRDefault="00000000" w:rsidRPr="00000000" w14:paraId="00000004">
      <w:pPr>
        <w:numPr>
          <w:ilvl w:val="0"/>
          <w:numId w:val="1"/>
        </w:numPr>
        <w:pBdr>
          <w:bottom w:color="auto" w:space="0" w:sz="0" w:val="none"/>
        </w:pBdr>
        <w:spacing w:after="0" w:afterAutospacing="0" w:line="360" w:lineRule="auto"/>
        <w:ind w:left="720" w:hanging="360"/>
        <w:rPr>
          <w:rFonts w:ascii="Avenir" w:cs="Avenir" w:eastAsia="Avenir" w:hAnsi="Avenir"/>
          <w:color w:val="333333"/>
          <w:sz w:val="20"/>
          <w:szCs w:val="20"/>
        </w:rPr>
      </w:pPr>
      <w:r w:rsidDel="00000000" w:rsidR="00000000" w:rsidRPr="00000000">
        <w:rPr>
          <w:rFonts w:ascii="Avenir" w:cs="Avenir" w:eastAsia="Avenir" w:hAnsi="Avenir"/>
          <w:b w:val="1"/>
          <w:color w:val="333333"/>
          <w:sz w:val="20"/>
          <w:szCs w:val="20"/>
          <w:rtl w:val="0"/>
        </w:rPr>
        <w:t xml:space="preserve">Is my thesis statement specific enough?</w:t>
      </w:r>
      <w:r w:rsidDel="00000000" w:rsidR="00000000" w:rsidRPr="00000000">
        <w:rPr>
          <w:rFonts w:ascii="Avenir" w:cs="Avenir" w:eastAsia="Avenir" w:hAnsi="Avenir"/>
          <w:color w:val="333333"/>
          <w:sz w:val="20"/>
          <w:szCs w:val="20"/>
          <w:rtl w:val="0"/>
        </w:rPr>
        <w:t xml:space="preserve"> Thesis statements that are too vague often do not have a strong argument. If your thesis contains words like “good” or “successful,” see if you could be more specific: why is something “good”; what specifically makes something “successful”?</w:t>
      </w:r>
    </w:p>
    <w:p w:rsidR="00000000" w:rsidDel="00000000" w:rsidP="00000000" w:rsidRDefault="00000000" w:rsidRPr="00000000" w14:paraId="00000005">
      <w:pPr>
        <w:numPr>
          <w:ilvl w:val="0"/>
          <w:numId w:val="1"/>
        </w:numPr>
        <w:pBdr>
          <w:bottom w:color="auto" w:space="0" w:sz="0" w:val="none"/>
        </w:pBdr>
        <w:spacing w:after="0" w:afterAutospacing="0" w:line="360" w:lineRule="auto"/>
        <w:ind w:left="720" w:hanging="360"/>
        <w:rPr>
          <w:rFonts w:ascii="Avenir" w:cs="Avenir" w:eastAsia="Avenir" w:hAnsi="Avenir"/>
          <w:color w:val="333333"/>
          <w:sz w:val="20"/>
          <w:szCs w:val="20"/>
        </w:rPr>
      </w:pPr>
      <w:r w:rsidDel="00000000" w:rsidR="00000000" w:rsidRPr="00000000">
        <w:rPr>
          <w:rFonts w:ascii="Avenir" w:cs="Avenir" w:eastAsia="Avenir" w:hAnsi="Avenir"/>
          <w:b w:val="1"/>
          <w:color w:val="333333"/>
          <w:sz w:val="20"/>
          <w:szCs w:val="20"/>
          <w:rtl w:val="0"/>
        </w:rPr>
        <w:t xml:space="preserve">Does my thesis pass the “So what?” test?</w:t>
      </w:r>
      <w:r w:rsidDel="00000000" w:rsidR="00000000" w:rsidRPr="00000000">
        <w:rPr>
          <w:rFonts w:ascii="Avenir" w:cs="Avenir" w:eastAsia="Avenir" w:hAnsi="Avenir"/>
          <w:color w:val="333333"/>
          <w:sz w:val="20"/>
          <w:szCs w:val="20"/>
          <w:rtl w:val="0"/>
        </w:rPr>
        <w:t xml:space="preserve"> If a reader’s first response is likely to  be “So what?” then you need to clarify, to forge a relationship, or to connect to a larger issue.</w:t>
      </w:r>
    </w:p>
    <w:p w:rsidR="00000000" w:rsidDel="00000000" w:rsidP="00000000" w:rsidRDefault="00000000" w:rsidRPr="00000000" w14:paraId="00000006">
      <w:pPr>
        <w:numPr>
          <w:ilvl w:val="0"/>
          <w:numId w:val="1"/>
        </w:numPr>
        <w:pBdr>
          <w:bottom w:color="auto" w:space="0" w:sz="0" w:val="none"/>
        </w:pBdr>
        <w:spacing w:after="0" w:afterAutospacing="0" w:line="360" w:lineRule="auto"/>
        <w:ind w:left="720" w:hanging="360"/>
        <w:rPr>
          <w:rFonts w:ascii="Avenir" w:cs="Avenir" w:eastAsia="Avenir" w:hAnsi="Avenir"/>
          <w:color w:val="333333"/>
          <w:sz w:val="20"/>
          <w:szCs w:val="20"/>
        </w:rPr>
      </w:pPr>
      <w:r w:rsidDel="00000000" w:rsidR="00000000" w:rsidRPr="00000000">
        <w:rPr>
          <w:rFonts w:ascii="Avenir" w:cs="Avenir" w:eastAsia="Avenir" w:hAnsi="Avenir"/>
          <w:b w:val="1"/>
          <w:color w:val="333333"/>
          <w:sz w:val="20"/>
          <w:szCs w:val="20"/>
          <w:rtl w:val="0"/>
        </w:rPr>
        <w:t xml:space="preserve">Does my essay support my thesis specifically and without wandering?</w:t>
      </w:r>
      <w:r w:rsidDel="00000000" w:rsidR="00000000" w:rsidRPr="00000000">
        <w:rPr>
          <w:rFonts w:ascii="Avenir" w:cs="Avenir" w:eastAsia="Avenir" w:hAnsi="Avenir"/>
          <w:color w:val="333333"/>
          <w:sz w:val="20"/>
          <w:szCs w:val="20"/>
          <w:rtl w:val="0"/>
        </w:rPr>
        <w:t xml:space="preserve"> If your thesis and the body of your essay do not seem to go together, one of them has to change. It’s okay to change your working thesis to reflect things you have figured out in the course of writing your paper. Remember, always reassess and revise your writing as necessary.</w:t>
      </w:r>
    </w:p>
    <w:p w:rsidR="00000000" w:rsidDel="00000000" w:rsidP="00000000" w:rsidRDefault="00000000" w:rsidRPr="00000000" w14:paraId="00000007">
      <w:pPr>
        <w:numPr>
          <w:ilvl w:val="0"/>
          <w:numId w:val="1"/>
        </w:numPr>
        <w:pBdr>
          <w:bottom w:color="auto" w:space="0" w:sz="0" w:val="none"/>
        </w:pBdr>
        <w:spacing w:after="600" w:line="360" w:lineRule="auto"/>
        <w:ind w:left="720" w:hanging="360"/>
        <w:rPr>
          <w:rFonts w:ascii="Avenir" w:cs="Avenir" w:eastAsia="Avenir" w:hAnsi="Avenir"/>
          <w:color w:val="333333"/>
          <w:sz w:val="20"/>
          <w:szCs w:val="20"/>
        </w:rPr>
      </w:pPr>
      <w:r w:rsidDel="00000000" w:rsidR="00000000" w:rsidRPr="00000000">
        <w:rPr>
          <w:rFonts w:ascii="Avenir" w:cs="Avenir" w:eastAsia="Avenir" w:hAnsi="Avenir"/>
          <w:b w:val="1"/>
          <w:color w:val="333333"/>
          <w:sz w:val="20"/>
          <w:szCs w:val="20"/>
          <w:rtl w:val="0"/>
        </w:rPr>
        <w:t xml:space="preserve">Does my thesis pass the “how and why?” test?</w:t>
      </w:r>
      <w:r w:rsidDel="00000000" w:rsidR="00000000" w:rsidRPr="00000000">
        <w:rPr>
          <w:rFonts w:ascii="Avenir" w:cs="Avenir" w:eastAsia="Avenir" w:hAnsi="Avenir"/>
          <w:color w:val="333333"/>
          <w:sz w:val="20"/>
          <w:szCs w:val="20"/>
          <w:rtl w:val="0"/>
        </w:rPr>
        <w:t xml:space="preserve"> If a reader’s first response is “how?” or “why?” your thesis may be too open-ended and lack guidance for the reader. See what you can add to give the reader a better take on your position right from the beginning.</w:t>
      </w:r>
    </w:p>
    <w:p w:rsidR="00000000" w:rsidDel="00000000" w:rsidP="00000000" w:rsidRDefault="00000000" w:rsidRPr="00000000" w14:paraId="00000008">
      <w:pPr>
        <w:pBdr>
          <w:bottom w:color="auto" w:space="0" w:sz="0" w:val="none"/>
        </w:pBdr>
        <w:spacing w:after="600" w:line="360" w:lineRule="auto"/>
        <w:rPr>
          <w:rFonts w:ascii="Avenir" w:cs="Avenir" w:eastAsia="Avenir" w:hAnsi="Avenir"/>
          <w:b w:val="1"/>
          <w:color w:val="333333"/>
          <w:sz w:val="20"/>
          <w:szCs w:val="20"/>
          <w:u w:val="single"/>
        </w:rPr>
      </w:pPr>
      <w:r w:rsidDel="00000000" w:rsidR="00000000" w:rsidRPr="00000000">
        <w:rPr>
          <w:rFonts w:ascii="Avenir" w:cs="Avenir" w:eastAsia="Avenir" w:hAnsi="Avenir"/>
          <w:b w:val="1"/>
          <w:color w:val="333333"/>
          <w:sz w:val="20"/>
          <w:szCs w:val="20"/>
          <w:u w:val="single"/>
          <w:rtl w:val="0"/>
        </w:rPr>
        <w:t xml:space="preserve">Examples of Strong Research Thesis Statements:</w:t>
      </w:r>
    </w:p>
    <w:p w:rsidR="00000000" w:rsidDel="00000000" w:rsidP="00000000" w:rsidRDefault="00000000" w:rsidRPr="00000000" w14:paraId="00000009">
      <w:pPr>
        <w:pBdr>
          <w:bottom w:color="auto" w:space="0" w:sz="0" w:val="none"/>
        </w:pBdr>
        <w:spacing w:after="600" w:line="360" w:lineRule="auto"/>
        <w:rPr>
          <w:rFonts w:ascii="Avenir" w:cs="Avenir" w:eastAsia="Avenir" w:hAnsi="Avenir"/>
          <w:b w:val="1"/>
          <w:i w:val="1"/>
          <w:color w:val="333333"/>
          <w:sz w:val="20"/>
          <w:szCs w:val="20"/>
        </w:rPr>
      </w:pPr>
      <w:r w:rsidDel="00000000" w:rsidR="00000000" w:rsidRPr="00000000">
        <w:rPr>
          <w:rFonts w:ascii="Avenir" w:cs="Avenir" w:eastAsia="Avenir" w:hAnsi="Avenir"/>
          <w:b w:val="1"/>
          <w:i w:val="1"/>
          <w:color w:val="333333"/>
          <w:sz w:val="20"/>
          <w:szCs w:val="20"/>
          <w:rtl w:val="0"/>
        </w:rPr>
        <w:t xml:space="preserve">Because many children are unable to vaccinate due to illness, we must require that all healthy and able children be vaccinated in order to have herd immunity.</w:t>
      </w:r>
    </w:p>
    <w:p w:rsidR="00000000" w:rsidDel="00000000" w:rsidP="00000000" w:rsidRDefault="00000000" w:rsidRPr="00000000" w14:paraId="0000000A">
      <w:pPr>
        <w:pBdr>
          <w:bottom w:color="auto" w:space="0" w:sz="0" w:val="none"/>
        </w:pBdr>
        <w:spacing w:after="620" w:line="360" w:lineRule="auto"/>
        <w:ind w:left="0" w:firstLine="0"/>
        <w:rPr>
          <w:rFonts w:ascii="Avenir" w:cs="Avenir" w:eastAsia="Avenir" w:hAnsi="Avenir"/>
          <w:b w:val="1"/>
          <w:i w:val="1"/>
          <w:color w:val="333333"/>
          <w:sz w:val="20"/>
          <w:szCs w:val="20"/>
        </w:rPr>
      </w:pPr>
      <w:r w:rsidDel="00000000" w:rsidR="00000000" w:rsidRPr="00000000">
        <w:rPr>
          <w:rFonts w:ascii="Avenir" w:cs="Avenir" w:eastAsia="Avenir" w:hAnsi="Avenir"/>
          <w:b w:val="1"/>
          <w:i w:val="1"/>
          <w:color w:val="333333"/>
          <w:sz w:val="20"/>
          <w:szCs w:val="20"/>
          <w:rtl w:val="0"/>
        </w:rPr>
        <w:t xml:space="preserve">Educational Resources for Low-Income Students Schools should provide educational resources for low-income students during the summers so that they don't forget what they've learned throughout the school year.</w:t>
      </w:r>
    </w:p>
    <w:p w:rsidR="00000000" w:rsidDel="00000000" w:rsidP="00000000" w:rsidRDefault="00000000" w:rsidRPr="00000000" w14:paraId="0000000B">
      <w:pPr>
        <w:pBdr>
          <w:bottom w:color="auto" w:space="0" w:sz="0" w:val="none"/>
        </w:pBdr>
        <w:spacing w:after="620" w:line="360" w:lineRule="auto"/>
        <w:ind w:left="0" w:firstLine="0"/>
        <w:rPr>
          <w:rFonts w:ascii="Avenir" w:cs="Avenir" w:eastAsia="Avenir" w:hAnsi="Avenir"/>
          <w:b w:val="1"/>
          <w:i w:val="1"/>
          <w:color w:val="333333"/>
          <w:sz w:val="20"/>
          <w:szCs w:val="20"/>
        </w:rPr>
      </w:pPr>
      <w:r w:rsidDel="00000000" w:rsidR="00000000" w:rsidRPr="00000000">
        <w:rPr>
          <w:rFonts w:ascii="Avenir" w:cs="Avenir" w:eastAsia="Avenir" w:hAnsi="Avenir"/>
          <w:b w:val="1"/>
          <w:i w:val="1"/>
          <w:color w:val="333333"/>
          <w:sz w:val="20"/>
          <w:szCs w:val="20"/>
          <w:rtl w:val="0"/>
        </w:rPr>
        <w:t xml:space="preserve">School uniforms may be an upfront cost for families, but they eradicate the visual differences in income between students and provide a more egalitarian atmosphere at school.</w:t>
      </w:r>
    </w:p>
    <w:p w:rsidR="00000000" w:rsidDel="00000000" w:rsidP="00000000" w:rsidRDefault="00000000" w:rsidRPr="00000000" w14:paraId="0000000C">
      <w:pPr>
        <w:pBdr>
          <w:bottom w:color="auto" w:space="0" w:sz="0" w:val="none"/>
        </w:pBdr>
        <w:spacing w:after="600" w:line="360" w:lineRule="auto"/>
        <w:rPr>
          <w:rFonts w:ascii="Avenir" w:cs="Avenir" w:eastAsia="Avenir" w:hAnsi="Avenir"/>
          <w:b w:val="1"/>
          <w:i w:val="1"/>
          <w:color w:val="333333"/>
          <w:sz w:val="20"/>
          <w:szCs w:val="20"/>
        </w:rPr>
      </w:pPr>
      <w:r w:rsidDel="00000000" w:rsidR="00000000" w:rsidRPr="00000000">
        <w:rPr>
          <w:rtl w:val="0"/>
        </w:rPr>
      </w:r>
    </w:p>
    <w:p w:rsidR="00000000" w:rsidDel="00000000" w:rsidP="00000000" w:rsidRDefault="00000000" w:rsidRPr="00000000" w14:paraId="0000000D">
      <w:pPr>
        <w:pBdr>
          <w:bottom w:color="auto" w:space="0" w:sz="0" w:val="none"/>
        </w:pBdr>
        <w:spacing w:after="600" w:line="360" w:lineRule="auto"/>
        <w:rPr>
          <w:rFonts w:ascii="Avenir" w:cs="Avenir" w:eastAsia="Avenir" w:hAnsi="Avenir"/>
          <w:i w:val="1"/>
          <w:color w:val="333333"/>
          <w:sz w:val="20"/>
          <w:szCs w:val="20"/>
        </w:rPr>
      </w:pPr>
      <w:r w:rsidDel="00000000" w:rsidR="00000000" w:rsidRPr="00000000">
        <w:rPr>
          <w:rtl w:val="0"/>
        </w:rPr>
      </w:r>
    </w:p>
    <w:p w:rsidR="00000000" w:rsidDel="00000000" w:rsidP="00000000" w:rsidRDefault="00000000" w:rsidRPr="00000000" w14:paraId="0000000E">
      <w:pPr>
        <w:rPr/>
      </w:pPr>
      <w:r w:rsidDel="00000000" w:rsidR="00000000" w:rsidRPr="00000000">
        <w:rPr>
          <w:rtl w:val="0"/>
        </w:rPr>
      </w:r>
    </w:p>
    <w:sectPr>
      <w:pgSz w:h="15840" w:w="12240"/>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Avenir"/>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